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517"/>
        <w:gridCol w:w="5337"/>
      </w:tblGrid>
      <w:tr w:rsidR="006B7FA4" w:rsidRPr="006B7FA4" w:rsidTr="003239D8">
        <w:trPr>
          <w:trHeight w:val="80"/>
        </w:trPr>
        <w:tc>
          <w:tcPr>
            <w:tcW w:w="4517" w:type="dxa"/>
          </w:tcPr>
          <w:p w:rsidR="006B7FA4" w:rsidRPr="006B7FA4" w:rsidRDefault="006B7FA4" w:rsidP="006B7FA4">
            <w:pPr>
              <w:snapToGrid w:val="0"/>
              <w:spacing w:after="0" w:line="240" w:lineRule="auto"/>
              <w:ind w:firstLine="709"/>
              <w:jc w:val="both"/>
              <w:rPr>
                <w:rFonts w:ascii="Times New Roman" w:eastAsia="Times New Roman" w:hAnsi="Times New Roman" w:cs="Times New Roman"/>
                <w:sz w:val="28"/>
                <w:szCs w:val="28"/>
                <w:lang w:eastAsia="zh-CN"/>
              </w:rPr>
            </w:pPr>
          </w:p>
        </w:tc>
        <w:tc>
          <w:tcPr>
            <w:tcW w:w="5337" w:type="dxa"/>
          </w:tcPr>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0"/>
                <w:szCs w:val="20"/>
                <w:lang w:eastAsia="zh-CN"/>
              </w:rPr>
            </w:pPr>
            <w:r w:rsidRPr="006B7FA4">
              <w:rPr>
                <w:rFonts w:ascii="Times New Roman" w:eastAsia="Times New Roman" w:hAnsi="Times New Roman" w:cs="Times New Roman"/>
                <w:sz w:val="28"/>
                <w:szCs w:val="28"/>
                <w:lang w:eastAsia="zh-CN"/>
              </w:rPr>
              <w:t>ПРИЛОЖЕНИЕ</w:t>
            </w:r>
          </w:p>
        </w:tc>
      </w:tr>
      <w:tr w:rsidR="006B7FA4" w:rsidRPr="006B7FA4" w:rsidTr="003239D8">
        <w:tc>
          <w:tcPr>
            <w:tcW w:w="4517" w:type="dxa"/>
          </w:tcPr>
          <w:p w:rsidR="006B7FA4" w:rsidRPr="006B7FA4" w:rsidRDefault="006B7FA4" w:rsidP="006B7FA4">
            <w:pPr>
              <w:snapToGrid w:val="0"/>
              <w:spacing w:after="0" w:line="240" w:lineRule="auto"/>
              <w:ind w:firstLine="709"/>
              <w:jc w:val="both"/>
              <w:rPr>
                <w:rFonts w:ascii="Times New Roman" w:eastAsia="Times New Roman" w:hAnsi="Times New Roman" w:cs="Times New Roman"/>
                <w:sz w:val="28"/>
                <w:szCs w:val="28"/>
                <w:lang w:eastAsia="zh-CN"/>
              </w:rPr>
            </w:pPr>
          </w:p>
        </w:tc>
        <w:tc>
          <w:tcPr>
            <w:tcW w:w="5337" w:type="dxa"/>
          </w:tcPr>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8"/>
                <w:szCs w:val="28"/>
                <w:lang w:eastAsia="zh-CN"/>
              </w:rPr>
            </w:pPr>
          </w:p>
        </w:tc>
      </w:tr>
      <w:tr w:rsidR="006B7FA4" w:rsidRPr="006B7FA4" w:rsidTr="003239D8">
        <w:tc>
          <w:tcPr>
            <w:tcW w:w="4517" w:type="dxa"/>
          </w:tcPr>
          <w:p w:rsidR="006B7FA4" w:rsidRPr="006B7FA4" w:rsidRDefault="006B7FA4" w:rsidP="006B7FA4">
            <w:pPr>
              <w:snapToGrid w:val="0"/>
              <w:spacing w:after="0" w:line="240" w:lineRule="auto"/>
              <w:ind w:firstLine="709"/>
              <w:jc w:val="both"/>
              <w:rPr>
                <w:rFonts w:ascii="Times New Roman" w:eastAsia="Times New Roman" w:hAnsi="Times New Roman" w:cs="Times New Roman"/>
                <w:sz w:val="28"/>
                <w:szCs w:val="28"/>
                <w:lang w:eastAsia="zh-CN"/>
              </w:rPr>
            </w:pPr>
          </w:p>
        </w:tc>
        <w:tc>
          <w:tcPr>
            <w:tcW w:w="5337" w:type="dxa"/>
          </w:tcPr>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0"/>
                <w:szCs w:val="20"/>
                <w:lang w:eastAsia="zh-CN"/>
              </w:rPr>
            </w:pPr>
            <w:r w:rsidRPr="006B7FA4">
              <w:rPr>
                <w:rFonts w:ascii="Times New Roman" w:eastAsia="Times New Roman" w:hAnsi="Times New Roman" w:cs="Times New Roman"/>
                <w:sz w:val="28"/>
                <w:szCs w:val="28"/>
                <w:lang w:eastAsia="zh-CN"/>
              </w:rPr>
              <w:t>УТВЕРЖДЕНЫ</w:t>
            </w:r>
          </w:p>
        </w:tc>
      </w:tr>
      <w:tr w:rsidR="006B7FA4" w:rsidRPr="006B7FA4" w:rsidTr="003239D8">
        <w:tc>
          <w:tcPr>
            <w:tcW w:w="4517" w:type="dxa"/>
          </w:tcPr>
          <w:p w:rsidR="006B7FA4" w:rsidRPr="006B7FA4" w:rsidRDefault="006B7FA4" w:rsidP="006B7FA4">
            <w:pPr>
              <w:snapToGrid w:val="0"/>
              <w:spacing w:after="0" w:line="240" w:lineRule="auto"/>
              <w:ind w:firstLine="709"/>
              <w:jc w:val="both"/>
              <w:rPr>
                <w:rFonts w:ascii="Times New Roman" w:eastAsia="Times New Roman" w:hAnsi="Times New Roman" w:cs="Times New Roman"/>
                <w:sz w:val="28"/>
                <w:szCs w:val="28"/>
                <w:lang w:eastAsia="zh-CN"/>
              </w:rPr>
            </w:pPr>
          </w:p>
        </w:tc>
        <w:tc>
          <w:tcPr>
            <w:tcW w:w="5337" w:type="dxa"/>
          </w:tcPr>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0"/>
                <w:szCs w:val="20"/>
                <w:lang w:eastAsia="zh-CN"/>
              </w:rPr>
            </w:pPr>
            <w:r w:rsidRPr="006B7FA4">
              <w:rPr>
                <w:rFonts w:ascii="Times New Roman" w:eastAsia="Times New Roman" w:hAnsi="Times New Roman" w:cs="Times New Roman"/>
                <w:sz w:val="28"/>
                <w:szCs w:val="28"/>
                <w:lang w:eastAsia="zh-CN"/>
              </w:rPr>
              <w:t>постановлением администрации</w:t>
            </w:r>
          </w:p>
        </w:tc>
      </w:tr>
      <w:tr w:rsidR="006B7FA4" w:rsidRPr="006B7FA4" w:rsidTr="003239D8">
        <w:tc>
          <w:tcPr>
            <w:tcW w:w="4517" w:type="dxa"/>
          </w:tcPr>
          <w:p w:rsidR="006B7FA4" w:rsidRPr="006B7FA4" w:rsidRDefault="006B7FA4" w:rsidP="006B7FA4">
            <w:pPr>
              <w:snapToGrid w:val="0"/>
              <w:spacing w:after="0" w:line="240" w:lineRule="auto"/>
              <w:ind w:firstLine="709"/>
              <w:jc w:val="both"/>
              <w:rPr>
                <w:rFonts w:ascii="Times New Roman" w:eastAsia="Times New Roman" w:hAnsi="Times New Roman" w:cs="Times New Roman"/>
                <w:sz w:val="28"/>
                <w:szCs w:val="28"/>
                <w:lang w:eastAsia="zh-CN"/>
              </w:rPr>
            </w:pPr>
          </w:p>
        </w:tc>
        <w:tc>
          <w:tcPr>
            <w:tcW w:w="5337" w:type="dxa"/>
          </w:tcPr>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8"/>
                <w:szCs w:val="28"/>
                <w:lang w:eastAsia="zh-CN"/>
              </w:rPr>
            </w:pPr>
            <w:r w:rsidRPr="006B7FA4">
              <w:rPr>
                <w:rFonts w:ascii="Times New Roman" w:eastAsia="Times New Roman" w:hAnsi="Times New Roman" w:cs="Times New Roman"/>
                <w:sz w:val="28"/>
                <w:szCs w:val="28"/>
                <w:lang w:eastAsia="zh-CN"/>
              </w:rPr>
              <w:t xml:space="preserve">Стародеревянковского </w:t>
            </w:r>
          </w:p>
          <w:p w:rsidR="006B7FA4" w:rsidRPr="006B7FA4" w:rsidRDefault="006B7FA4" w:rsidP="006B7FA4">
            <w:pPr>
              <w:snapToGrid w:val="0"/>
              <w:spacing w:after="0" w:line="240" w:lineRule="auto"/>
              <w:ind w:firstLine="709"/>
              <w:jc w:val="center"/>
              <w:rPr>
                <w:rFonts w:ascii="Times New Roman" w:eastAsia="Times New Roman" w:hAnsi="Times New Roman" w:cs="Times New Roman"/>
                <w:sz w:val="28"/>
                <w:szCs w:val="28"/>
                <w:lang w:eastAsia="zh-CN"/>
              </w:rPr>
            </w:pPr>
            <w:r w:rsidRPr="006B7FA4">
              <w:rPr>
                <w:rFonts w:ascii="Times New Roman" w:eastAsia="Times New Roman" w:hAnsi="Times New Roman" w:cs="Times New Roman"/>
                <w:sz w:val="28"/>
                <w:szCs w:val="28"/>
                <w:lang w:eastAsia="zh-CN"/>
              </w:rPr>
              <w:t xml:space="preserve">сельского поселения </w:t>
            </w:r>
          </w:p>
          <w:p w:rsidR="006B7FA4" w:rsidRDefault="006B7FA4" w:rsidP="006B7FA4">
            <w:pPr>
              <w:snapToGrid w:val="0"/>
              <w:spacing w:after="0" w:line="240" w:lineRule="auto"/>
              <w:ind w:firstLine="709"/>
              <w:jc w:val="center"/>
              <w:rPr>
                <w:rFonts w:ascii="Times New Roman" w:eastAsia="Times New Roman" w:hAnsi="Times New Roman" w:cs="Times New Roman"/>
                <w:sz w:val="28"/>
                <w:szCs w:val="28"/>
                <w:lang w:eastAsia="zh-CN"/>
              </w:rPr>
            </w:pPr>
            <w:r w:rsidRPr="006B7FA4">
              <w:rPr>
                <w:rFonts w:ascii="Times New Roman" w:eastAsia="Times New Roman" w:hAnsi="Times New Roman" w:cs="Times New Roman"/>
                <w:sz w:val="28"/>
                <w:szCs w:val="28"/>
                <w:lang w:eastAsia="zh-CN"/>
              </w:rPr>
              <w:t>Каневского района</w:t>
            </w:r>
          </w:p>
          <w:p w:rsidR="00CA796C" w:rsidRPr="006B7FA4" w:rsidRDefault="00CA796C" w:rsidP="006B7FA4">
            <w:pPr>
              <w:snapToGrid w:val="0"/>
              <w:spacing w:after="0" w:line="240" w:lineRule="auto"/>
              <w:ind w:firstLine="709"/>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8"/>
                <w:szCs w:val="28"/>
                <w:lang w:eastAsia="zh-CN"/>
              </w:rPr>
              <w:t>от 28.10.2025 № 329</w:t>
            </w:r>
          </w:p>
        </w:tc>
      </w:tr>
    </w:tbl>
    <w:p w:rsid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Основные направления</w:t>
      </w: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налоговой политики Стародеревянковского сельского</w:t>
      </w: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поселения Каневского муниципального района Краснодарского края</w:t>
      </w: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на 2026 год</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Основные направления налоговой политики Стародеревянковского сельского поселения Каневского муниципального района Краснодарского края на 2026год (далее – Основные направления налоговой политики) подготовлены в целях составления проекта местного бюджета.</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Основные направления налоговой политики разработаны в соответствии с Бюджетным кодексом Российской Федерации, Законом Краснодарского края от 4 февраля 2002 года № 437-КЗ «О бюджетном процессе в Краснодарском крае» (в редакции от 28.07.2025г.), решением Совета муниципального образования Стародеревянковского сельского поселения Каневской район от 05 августа 2016 года № 104 «Об утверждении Положения о бюджетном процессе в Стародеревянковском сельском поселении Каневского района» с учётом приоритетов государственной политики, определенных Основными направлениями налоговой политики Российской Федерации и Краснодарского края на 2026 год.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Основными целями налоговой политики Стародеревянковского сельского поселения Каневского муниципального района Краснодарского края являются:</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создание условий для стимулирования экономического роста, предпринимательской и инвестиционной деятельности;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реализация антикризисных мер, сохранение доходного потенциала Стародеревянковского сельского поселения Каневского муниципального района Краснодарского края;</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повышение качества администрирования налоговых и неналоговых доходов консолидированного бюджета. </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1. Итоги реализации налоговой политики Стародеревянковского сельского поселения Каневского муниципального района Краснодарского края в 2024 году и за девять месяцев</w:t>
      </w: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2025года</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lastRenderedPageBreak/>
        <w:t>Реализация налоговой политики Стародеревянковского сельского поселения Каневского муниципального района Краснодарского края в 2024 году и в период девяти месяцев 2025 года основывалась на налоговой политике Российской Федерации и Краснодарского края в этот период с учетом целей и задач, установленных Основными направлениями бюджетной и налоговой политики Стародеревянковского сельского поселения Каневского муниципального района Краснодарского края на 2026 год.</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Основными налогами, формирующими доходную часть местного бюджета Стародеревянковского сельского поселения Каневского муниципального района Краснодарского края, являются налог на доходы физических лиц, налог на товары (работы, услуги), реализуемые на территории Российской Федерации, земельный налог, налог на имущество, единый сельскохозяйственный налог. В 2025 году доходы от вышеуказанных налогов составили 85,1 процентов всего объема налоговых и неналоговых доходов бюджета Стародеревянковского сельского поселения образования Каневского муниципального района Краснодарского края.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Исполнение доходной части бюджета за 2024 год (с учетом безвозмездных поступлений) составило 110841,8 тыс. рублей или 99,2 % к годовым плановым показателям.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Одним из источников роста доходной базы бюджета является улучшение качества администрирования доходов главными администраторами доходов, снижение недоимки по администрируемым платежам.</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Осуществлялись мероприятия по проведению инвентаризации имущества, не используемого для обеспечения полномочий органов местного самоуправления Стародеревянковского сельского поселения Каневского муниципального района Краснодарского края, а также муниципальных учреждений и предприятий поселения. </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center"/>
        <w:rPr>
          <w:rFonts w:ascii="Times New Roman" w:hAnsi="Times New Roman" w:cs="Times New Roman"/>
          <w:sz w:val="28"/>
          <w:szCs w:val="28"/>
        </w:rPr>
      </w:pPr>
      <w:r w:rsidRPr="006B7FA4">
        <w:rPr>
          <w:rFonts w:ascii="Times New Roman" w:hAnsi="Times New Roman" w:cs="Times New Roman"/>
          <w:sz w:val="28"/>
          <w:szCs w:val="28"/>
        </w:rPr>
        <w:t>2. Основные направления налоговой политики на 2026 год</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Основные направления налоговой политики Стародеревянковского сельского поселения Каневского муниципального района Краснодарского края на 2026 год определяют стратегию действий администрации Стародеревянковского сельского поселения Каневского муниципального района Краснодарского края в части формирования доходов и являются основой для формирования бюджета поселения на 2026 год.</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Целью налоговой политики Стародеревянковского сельского поселения Каневского муниципального района Краснодарского края на 2026 год, напрямую связанной с проводимой на федеральном и региональном уровнях налоговой политикой, является увеличение доходной части бюджета поселения, обеспечение сбалансированности бюджетной системы при одновременной поддержке отдельных категорий налогоплательщиков.</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В целях совершенствования налогового администрирования налога на доходы физических лиц и повышения ответственности налоговых агентов за </w:t>
      </w:r>
      <w:r w:rsidRPr="006B7FA4">
        <w:rPr>
          <w:rFonts w:ascii="Times New Roman" w:hAnsi="Times New Roman" w:cs="Times New Roman"/>
          <w:sz w:val="28"/>
          <w:szCs w:val="28"/>
        </w:rPr>
        <w:lastRenderedPageBreak/>
        <w:t>несоблюдение требований налогового законодательства Федеральным законом от 2 мая 2015 года №113-ФЗ «О внесении изменений в части первую и вторую Налогового кодекса Российской Федерации в целях повышения ответственности налоговых агентов за несоблюдение требований законодательства о налогах и сборах» с 1 января 2016 года:</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устанавливается обязанность налоговых агентов по ежеквартальному представлению в налоговый орган расчета исчисленных и удержанных сумм налога на доходы физических лиц;</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устанавливается ответственность налоговых агентов за непредставление и несвоевременное представление в налоговый орган расчета исчисленных и удержанных сумм налога, а также представление недостоверных расчетов и недостоверных сведений о доходах физических лиц;</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предоставляются права налоговым органам на приостановление операций налогового агента по счетам в банке в случае непредставления им расчета исчисленных и удержанных сумм налога на доходы физических лиц.</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Основные задачи налоговой политики Стародеревянковского сельского поселения Каневского муниципального района Краснодарского края на 2026 год:</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увеличение налогового потенциала бюджета поселения посредством стимулирования развития новых производств;</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повышение эффективности администрирования налоговых и неналоговых доходов;</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усиление ответственности главных администраторов доходов за выполнение бюджетных назначений по налоговым и неналоговым доходам;</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осуществление мониторинга платежей в разрезе доходных источников;</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проведение комплекса мероприятий, направленных на сокращение задолженности по налоговым платежам, усилению претензионно-исковой работы с неплательщиками налогов, сборов и иных обязательных платежей и осуществлению мер принудительного взыскания задолженности;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проведение целенаправленной работы с плательщиками, находящимися на территории поселения в целях принятия мер по улучшению результатов их финансово-хозяйственной деятельности;</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проведение разъяснительной работы с руководителями организаций по недопущению выплаты заработной платы в «конвертах» и образованию просроченной задолженности, а также доведению заработной платы до среднеотраслевого уровня;</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обеспечение стабильных условий деятельности инвесторов, поддержки инновационного предпринимательства и предприятий малого бизнеса;</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принятие мер, направленных на эффективное управление и распоряжение в сфере имущественных и земельных отношений на территории Стародеревянковского сельского поселения Каневского муниципального района Краснодарского края;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повышение эффективности использования земельных ресурсов, в том числе посредством оформления права собственности Стародеревянковского </w:t>
      </w:r>
      <w:r w:rsidRPr="006B7FA4">
        <w:rPr>
          <w:rFonts w:ascii="Times New Roman" w:hAnsi="Times New Roman" w:cs="Times New Roman"/>
          <w:sz w:val="28"/>
          <w:szCs w:val="28"/>
        </w:rPr>
        <w:lastRenderedPageBreak/>
        <w:t>сельского поселения Каневского муниципального района Краснодарского края на земельные участки, и дальнейшее их использование в качестве объектов аренды, продажи или вложения;</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обеспечение эффективности использования муниципального имущества, находящегося в собственности Стародеревянковского сельского поселения Каневского муниципального района Краснодарского края, посредством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повышения качества и контроля за его использованием, выявлением неиспользуемого имущества и принятием мер, направленных на его реализацию или передачу в аренду.</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Налоговая политика в Стародеревянковском сельском поселении будет выстраиваться с учётом изменений налогового законодательства Российской Федерации и Краснодарского края, которые окажут влияние на формирование доходной части местного бюджета.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 xml:space="preserve">Организация работы по выявлению хозяйствующих субъектов, необоснованно использующих специальные налоговые режимы; </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Обеспечение взаимодействия по обмену в установленных законодательством пределах данными из информационных баз федерального казначейства о поступивших платежах в консолидируемый бюджет, осуществление мониторинга поступивших платежей в разрезе плательщиков для предупреждения и пресечения налоговых правонарушений;</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Обеспечение проведения мероприятий в отношении юридических и физических лиц, привлекающих наемных работников, в том числе на сезонные работы, в части оформления трудовых отношений и правильности налогообложения доходов, а также мероприятий по снижению неформальной трудовой занятости.</w:t>
      </w:r>
    </w:p>
    <w:p w:rsidR="006B7FA4" w:rsidRPr="006B7FA4" w:rsidRDefault="006B7FA4" w:rsidP="006B7FA4">
      <w:pPr>
        <w:spacing w:after="0" w:line="240" w:lineRule="auto"/>
        <w:ind w:firstLine="709"/>
        <w:jc w:val="both"/>
        <w:rPr>
          <w:rFonts w:ascii="Times New Roman" w:hAnsi="Times New Roman" w:cs="Times New Roman"/>
          <w:sz w:val="28"/>
          <w:szCs w:val="28"/>
        </w:rPr>
      </w:pPr>
      <w:r w:rsidRPr="006B7FA4">
        <w:rPr>
          <w:rFonts w:ascii="Times New Roman" w:hAnsi="Times New Roman" w:cs="Times New Roman"/>
          <w:sz w:val="28"/>
          <w:szCs w:val="28"/>
        </w:rPr>
        <w:t>Реализация налоговой политики Стародеревянковского сельского поселения Каневского муниципального района Краснодарского края в 2026 году должна способствовать достижению стабильного социально-экономического развития с высоким уровнем налогового потенциала и устойчивым местным бюджетом и повышению уровня жизни населения.</w:t>
      </w: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ind w:firstLine="709"/>
        <w:jc w:val="both"/>
        <w:rPr>
          <w:rFonts w:ascii="Times New Roman" w:hAnsi="Times New Roman" w:cs="Times New Roman"/>
          <w:sz w:val="28"/>
          <w:szCs w:val="28"/>
        </w:rPr>
      </w:pPr>
    </w:p>
    <w:p w:rsidR="006B7FA4" w:rsidRPr="006B7FA4" w:rsidRDefault="006B7FA4" w:rsidP="006B7FA4">
      <w:pPr>
        <w:spacing w:after="0" w:line="240" w:lineRule="auto"/>
        <w:jc w:val="both"/>
        <w:rPr>
          <w:rFonts w:ascii="Times New Roman" w:hAnsi="Times New Roman" w:cs="Times New Roman"/>
          <w:sz w:val="28"/>
          <w:szCs w:val="28"/>
        </w:rPr>
      </w:pPr>
      <w:r w:rsidRPr="006B7FA4">
        <w:rPr>
          <w:rFonts w:ascii="Times New Roman" w:hAnsi="Times New Roman" w:cs="Times New Roman"/>
          <w:sz w:val="28"/>
          <w:szCs w:val="28"/>
        </w:rPr>
        <w:t>Начальник отдела экономики и финансов</w:t>
      </w:r>
      <w:r w:rsidRPr="006B7FA4">
        <w:rPr>
          <w:rFonts w:ascii="Times New Roman" w:hAnsi="Times New Roman" w:cs="Times New Roman"/>
          <w:sz w:val="28"/>
          <w:szCs w:val="28"/>
        </w:rPr>
        <w:tab/>
      </w:r>
      <w:r w:rsidRPr="006B7FA4">
        <w:rPr>
          <w:rFonts w:ascii="Times New Roman" w:hAnsi="Times New Roman" w:cs="Times New Roman"/>
          <w:sz w:val="28"/>
          <w:szCs w:val="28"/>
        </w:rPr>
        <w:tab/>
      </w:r>
      <w:r w:rsidRPr="006B7FA4">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6B7FA4">
        <w:rPr>
          <w:rFonts w:ascii="Times New Roman" w:hAnsi="Times New Roman" w:cs="Times New Roman"/>
          <w:sz w:val="28"/>
          <w:szCs w:val="28"/>
        </w:rPr>
        <w:t xml:space="preserve"> </w:t>
      </w:r>
      <w:proofErr w:type="spellStart"/>
      <w:r w:rsidRPr="006B7FA4">
        <w:rPr>
          <w:rFonts w:ascii="Times New Roman" w:hAnsi="Times New Roman" w:cs="Times New Roman"/>
          <w:sz w:val="28"/>
          <w:szCs w:val="28"/>
        </w:rPr>
        <w:t>А.В.Бортникова</w:t>
      </w:r>
      <w:proofErr w:type="spellEnd"/>
    </w:p>
    <w:p w:rsidR="00035973" w:rsidRPr="006B7FA4" w:rsidRDefault="00035973" w:rsidP="006B7FA4">
      <w:pPr>
        <w:spacing w:after="0" w:line="240" w:lineRule="auto"/>
        <w:ind w:firstLine="709"/>
        <w:jc w:val="both"/>
        <w:rPr>
          <w:rFonts w:ascii="Times New Roman" w:hAnsi="Times New Roman" w:cs="Times New Roman"/>
          <w:sz w:val="28"/>
          <w:szCs w:val="28"/>
        </w:rPr>
      </w:pPr>
    </w:p>
    <w:sectPr w:rsidR="00035973" w:rsidRPr="006B7FA4" w:rsidSect="00CA796C">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E80" w:rsidRDefault="00C93E80" w:rsidP="00C93E80">
      <w:pPr>
        <w:pStyle w:val="90"/>
        <w:spacing w:after="0" w:line="240" w:lineRule="auto"/>
      </w:pPr>
      <w:r>
        <w:separator/>
      </w:r>
    </w:p>
  </w:endnote>
  <w:endnote w:type="continuationSeparator" w:id="1">
    <w:p w:rsidR="00C93E80" w:rsidRDefault="00C93E80" w:rsidP="00C93E80">
      <w:pPr>
        <w:pStyle w:val="90"/>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E80" w:rsidRDefault="00C93E80" w:rsidP="00C93E80">
      <w:pPr>
        <w:pStyle w:val="90"/>
        <w:spacing w:after="0" w:line="240" w:lineRule="auto"/>
      </w:pPr>
      <w:r>
        <w:separator/>
      </w:r>
    </w:p>
  </w:footnote>
  <w:footnote w:type="continuationSeparator" w:id="1">
    <w:p w:rsidR="00C93E80" w:rsidRDefault="00C93E80" w:rsidP="00C93E80">
      <w:pPr>
        <w:pStyle w:val="90"/>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61861"/>
      <w:docPartObj>
        <w:docPartGallery w:val="Page Numbers (Top of Page)"/>
        <w:docPartUnique/>
      </w:docPartObj>
    </w:sdtPr>
    <w:sdtContent>
      <w:p w:rsidR="00CA796C" w:rsidRDefault="00CA796C">
        <w:pPr>
          <w:pStyle w:val="ac"/>
          <w:jc w:val="center"/>
        </w:pPr>
        <w:fldSimple w:instr=" PAGE   \* MERGEFORMAT ">
          <w:r>
            <w:rPr>
              <w:noProof/>
            </w:rPr>
            <w:t>3</w:t>
          </w:r>
        </w:fldSimple>
      </w:p>
    </w:sdtContent>
  </w:sdt>
  <w:p w:rsidR="00CA796C" w:rsidRDefault="00CA796C">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B7FA4"/>
    <w:rsid w:val="00035973"/>
    <w:rsid w:val="000C71A4"/>
    <w:rsid w:val="002A145E"/>
    <w:rsid w:val="002A59D3"/>
    <w:rsid w:val="002B7FC2"/>
    <w:rsid w:val="006B7FA4"/>
    <w:rsid w:val="007E5E39"/>
    <w:rsid w:val="00920351"/>
    <w:rsid w:val="009C6CFF"/>
    <w:rsid w:val="00C93E80"/>
    <w:rsid w:val="00CA79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E80"/>
  </w:style>
  <w:style w:type="paragraph" w:styleId="1">
    <w:name w:val="heading 1"/>
    <w:basedOn w:val="a"/>
    <w:next w:val="a"/>
    <w:link w:val="10"/>
    <w:uiPriority w:val="9"/>
    <w:qFormat/>
    <w:rsid w:val="006B7F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B7F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B7FA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B7FA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B7FA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B7FA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B7FA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B7FA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B7FA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7FA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B7FA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B7FA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B7FA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B7FA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B7FA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B7FA4"/>
    <w:rPr>
      <w:rFonts w:eastAsiaTheme="majorEastAsia" w:cstheme="majorBidi"/>
      <w:color w:val="595959" w:themeColor="text1" w:themeTint="A6"/>
    </w:rPr>
  </w:style>
  <w:style w:type="character" w:customStyle="1" w:styleId="80">
    <w:name w:val="Заголовок 8 Знак"/>
    <w:basedOn w:val="a0"/>
    <w:link w:val="8"/>
    <w:uiPriority w:val="9"/>
    <w:semiHidden/>
    <w:rsid w:val="006B7FA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B7FA4"/>
    <w:rPr>
      <w:rFonts w:eastAsiaTheme="majorEastAsia" w:cstheme="majorBidi"/>
      <w:color w:val="272727" w:themeColor="text1" w:themeTint="D8"/>
    </w:rPr>
  </w:style>
  <w:style w:type="paragraph" w:styleId="a3">
    <w:name w:val="Title"/>
    <w:basedOn w:val="a"/>
    <w:next w:val="a"/>
    <w:link w:val="a4"/>
    <w:uiPriority w:val="10"/>
    <w:qFormat/>
    <w:rsid w:val="006B7F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6B7F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7FA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B7FA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B7FA4"/>
    <w:pPr>
      <w:spacing w:before="160"/>
      <w:jc w:val="center"/>
    </w:pPr>
    <w:rPr>
      <w:i/>
      <w:iCs/>
      <w:color w:val="404040" w:themeColor="text1" w:themeTint="BF"/>
    </w:rPr>
  </w:style>
  <w:style w:type="character" w:customStyle="1" w:styleId="22">
    <w:name w:val="Цитата 2 Знак"/>
    <w:basedOn w:val="a0"/>
    <w:link w:val="21"/>
    <w:uiPriority w:val="29"/>
    <w:rsid w:val="006B7FA4"/>
    <w:rPr>
      <w:i/>
      <w:iCs/>
      <w:color w:val="404040" w:themeColor="text1" w:themeTint="BF"/>
    </w:rPr>
  </w:style>
  <w:style w:type="paragraph" w:styleId="a7">
    <w:name w:val="List Paragraph"/>
    <w:basedOn w:val="a"/>
    <w:uiPriority w:val="34"/>
    <w:qFormat/>
    <w:rsid w:val="006B7FA4"/>
    <w:pPr>
      <w:ind w:left="720"/>
      <w:contextualSpacing/>
    </w:pPr>
  </w:style>
  <w:style w:type="character" w:styleId="a8">
    <w:name w:val="Intense Emphasis"/>
    <w:basedOn w:val="a0"/>
    <w:uiPriority w:val="21"/>
    <w:qFormat/>
    <w:rsid w:val="006B7FA4"/>
    <w:rPr>
      <w:i/>
      <w:iCs/>
      <w:color w:val="2F5496" w:themeColor="accent1" w:themeShade="BF"/>
    </w:rPr>
  </w:style>
  <w:style w:type="paragraph" w:styleId="a9">
    <w:name w:val="Intense Quote"/>
    <w:basedOn w:val="a"/>
    <w:next w:val="a"/>
    <w:link w:val="aa"/>
    <w:uiPriority w:val="30"/>
    <w:qFormat/>
    <w:rsid w:val="006B7F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B7FA4"/>
    <w:rPr>
      <w:i/>
      <w:iCs/>
      <w:color w:val="2F5496" w:themeColor="accent1" w:themeShade="BF"/>
    </w:rPr>
  </w:style>
  <w:style w:type="character" w:styleId="ab">
    <w:name w:val="Intense Reference"/>
    <w:basedOn w:val="a0"/>
    <w:uiPriority w:val="32"/>
    <w:qFormat/>
    <w:rsid w:val="006B7FA4"/>
    <w:rPr>
      <w:b/>
      <w:bCs/>
      <w:smallCaps/>
      <w:color w:val="2F5496" w:themeColor="accent1" w:themeShade="BF"/>
      <w:spacing w:val="5"/>
    </w:rPr>
  </w:style>
  <w:style w:type="paragraph" w:styleId="ac">
    <w:name w:val="header"/>
    <w:basedOn w:val="a"/>
    <w:link w:val="ad"/>
    <w:uiPriority w:val="99"/>
    <w:unhideWhenUsed/>
    <w:rsid w:val="00CA79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96C"/>
  </w:style>
  <w:style w:type="paragraph" w:styleId="ae">
    <w:name w:val="footer"/>
    <w:basedOn w:val="a"/>
    <w:link w:val="af"/>
    <w:uiPriority w:val="99"/>
    <w:semiHidden/>
    <w:unhideWhenUsed/>
    <w:rsid w:val="00CA796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A796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1347</Words>
  <Characters>7681</Characters>
  <Application>Microsoft Office Word</Application>
  <DocSecurity>0</DocSecurity>
  <Lines>64</Lines>
  <Paragraphs>18</Paragraphs>
  <ScaleCrop>false</ScaleCrop>
  <Company/>
  <LinksUpToDate>false</LinksUpToDate>
  <CharactersWithSpaces>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2025-11-01T08:10:00Z</cp:lastPrinted>
  <dcterms:created xsi:type="dcterms:W3CDTF">2025-11-01T07:41:00Z</dcterms:created>
  <dcterms:modified xsi:type="dcterms:W3CDTF">2025-11-01T08:11:00Z</dcterms:modified>
</cp:coreProperties>
</file>